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7F" w:rsidRPr="00F50E9C" w:rsidRDefault="0020357F">
      <w:pPr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</w:p>
    <w:p w:rsidR="009C7D67" w:rsidRPr="00DA6416" w:rsidRDefault="009C7D67" w:rsidP="009C7D67">
      <w:pPr>
        <w:pStyle w:val="Standard"/>
        <w:jc w:val="center"/>
        <w:rPr>
          <w:rFonts w:cs="Times New Roman"/>
          <w:sz w:val="28"/>
          <w:szCs w:val="28"/>
        </w:rPr>
      </w:pPr>
      <w:r w:rsidRPr="00DA6416">
        <w:rPr>
          <w:rFonts w:cs="Times New Roman"/>
          <w:b/>
          <w:i/>
          <w:sz w:val="28"/>
          <w:szCs w:val="28"/>
        </w:rPr>
        <w:t>Cywilnoprawna ochrona dóbr osobistych</w:t>
      </w:r>
    </w:p>
    <w:p w:rsidR="009C7D67" w:rsidRPr="00DA6416" w:rsidRDefault="009C7D67" w:rsidP="009C7D67">
      <w:pPr>
        <w:pStyle w:val="Standard"/>
        <w:jc w:val="center"/>
        <w:rPr>
          <w:rFonts w:cs="Times New Roman"/>
          <w:sz w:val="28"/>
          <w:szCs w:val="28"/>
        </w:rPr>
      </w:pPr>
      <w:r w:rsidRPr="00DA6416">
        <w:rPr>
          <w:rFonts w:cs="Times New Roman"/>
          <w:b/>
          <w:i/>
          <w:sz w:val="28"/>
          <w:szCs w:val="28"/>
        </w:rPr>
        <w:t>w społeczeństwie informacyjnym</w:t>
      </w:r>
    </w:p>
    <w:p w:rsidR="009C7D67" w:rsidRPr="00DA6416" w:rsidRDefault="009C7D67" w:rsidP="009C7D67">
      <w:pPr>
        <w:pStyle w:val="Standard"/>
        <w:jc w:val="center"/>
        <w:rPr>
          <w:rFonts w:cs="Times New Roman"/>
          <w:sz w:val="22"/>
          <w:szCs w:val="22"/>
        </w:rPr>
      </w:pPr>
      <w:r w:rsidRPr="00DA6416">
        <w:rPr>
          <w:rFonts w:cs="Times New Roman"/>
          <w:sz w:val="22"/>
          <w:szCs w:val="22"/>
        </w:rPr>
        <w:t>Specjalistyczny kurs organizowany przez Katedrę Prawa Cywilnego UJ</w:t>
      </w:r>
    </w:p>
    <w:p w:rsidR="0020357F" w:rsidRDefault="0020357F" w:rsidP="00045D2E">
      <w:pPr>
        <w:spacing w:line="360" w:lineRule="auto"/>
        <w:rPr>
          <w:rFonts w:ascii="Times New Roman" w:hAnsi="Times New Roman" w:cs="Times New Roman"/>
          <w:lang w:val="pl-PL"/>
        </w:rPr>
      </w:pPr>
    </w:p>
    <w:p w:rsidR="00C00151" w:rsidRPr="00F50E9C" w:rsidRDefault="00C00151" w:rsidP="00045D2E">
      <w:pPr>
        <w:spacing w:line="360" w:lineRule="auto"/>
        <w:rPr>
          <w:rFonts w:ascii="Times New Roman" w:hAnsi="Times New Roman" w:cs="Times New Roman"/>
          <w:lang w:val="pl-PL"/>
        </w:rPr>
      </w:pPr>
    </w:p>
    <w:p w:rsidR="0020357F" w:rsidRPr="009C7D67" w:rsidRDefault="009C7D67" w:rsidP="009C7D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9C7D6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PROGRAM KURSU</w:t>
      </w:r>
    </w:p>
    <w:p w:rsidR="009C7D67" w:rsidRPr="00045D2E" w:rsidRDefault="009C7D67" w:rsidP="009C7D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17E87" w:rsidRPr="00417E87" w:rsidRDefault="00417E87" w:rsidP="009C7D67">
      <w:pPr>
        <w:pStyle w:val="Akapitzlist"/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1) D</w:t>
      </w:r>
      <w:r w:rsidRPr="00417E87">
        <w:rPr>
          <w:rFonts w:ascii="Times New Roman" w:hAnsi="Times New Roman" w:cs="Times New Roman"/>
          <w:b/>
          <w:sz w:val="24"/>
          <w:szCs w:val="24"/>
          <w:lang w:val="pl-PL"/>
        </w:rPr>
        <w:t>obra osobiste – zagadnienia ogólne</w:t>
      </w:r>
      <w:r w:rsidR="00C0015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417E87" w:rsidRPr="00417E87" w:rsidRDefault="00417E87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7E87">
        <w:rPr>
          <w:rFonts w:ascii="Times New Roman" w:hAnsi="Times New Roman" w:cs="Times New Roman"/>
          <w:sz w:val="24"/>
          <w:szCs w:val="24"/>
          <w:lang w:val="pl-PL"/>
        </w:rPr>
        <w:t xml:space="preserve">a) prawna koncepcja ochrony dóbr osobistych i </w:t>
      </w:r>
      <w:r w:rsidR="00144EFA">
        <w:rPr>
          <w:rFonts w:ascii="Times New Roman" w:hAnsi="Times New Roman" w:cs="Times New Roman"/>
          <w:sz w:val="24"/>
          <w:szCs w:val="24"/>
          <w:lang w:val="pl-PL"/>
        </w:rPr>
        <w:t>przesłanki odpowiedzialności za </w:t>
      </w:r>
      <w:r w:rsidRPr="00417E87">
        <w:rPr>
          <w:rFonts w:ascii="Times New Roman" w:hAnsi="Times New Roman" w:cs="Times New Roman"/>
          <w:sz w:val="24"/>
          <w:szCs w:val="24"/>
          <w:lang w:val="pl-PL"/>
        </w:rPr>
        <w:t>naruszenie dóbr osobistych</w:t>
      </w:r>
    </w:p>
    <w:p w:rsidR="00417E87" w:rsidRPr="00417E87" w:rsidRDefault="00417E87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7E87">
        <w:rPr>
          <w:rFonts w:ascii="Times New Roman" w:hAnsi="Times New Roman" w:cs="Times New Roman"/>
          <w:sz w:val="24"/>
          <w:szCs w:val="24"/>
          <w:lang w:val="pl-PL"/>
        </w:rPr>
        <w:t xml:space="preserve">b) katalog dóbr osobistych (przesłanki wyodrębnienia i tworzenie </w:t>
      </w:r>
      <w:r w:rsidR="003E54D7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417E87">
        <w:rPr>
          <w:rFonts w:ascii="Times New Roman" w:hAnsi="Times New Roman" w:cs="Times New Roman"/>
          <w:sz w:val="24"/>
          <w:szCs w:val="24"/>
          <w:lang w:val="pl-PL"/>
        </w:rPr>
        <w:t>nowych</w:t>
      </w:r>
      <w:r w:rsidR="003E54D7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417E87">
        <w:rPr>
          <w:rFonts w:ascii="Times New Roman" w:hAnsi="Times New Roman" w:cs="Times New Roman"/>
          <w:sz w:val="24"/>
          <w:szCs w:val="24"/>
          <w:lang w:val="pl-PL"/>
        </w:rPr>
        <w:t xml:space="preserve"> dóbr osobistych) </w:t>
      </w:r>
    </w:p>
    <w:p w:rsidR="00417E87" w:rsidRPr="00417E87" w:rsidRDefault="00417E87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7E87">
        <w:rPr>
          <w:rFonts w:ascii="Times New Roman" w:hAnsi="Times New Roman" w:cs="Times New Roman"/>
          <w:sz w:val="24"/>
          <w:szCs w:val="24"/>
          <w:lang w:val="pl-PL"/>
        </w:rPr>
        <w:t xml:space="preserve">c) problematyka dóbr osobistych grup/zbiorowości </w:t>
      </w:r>
    </w:p>
    <w:p w:rsidR="00417E87" w:rsidRPr="00417E87" w:rsidRDefault="00417E87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7E87">
        <w:rPr>
          <w:rFonts w:ascii="Times New Roman" w:hAnsi="Times New Roman" w:cs="Times New Roman"/>
          <w:sz w:val="24"/>
          <w:szCs w:val="24"/>
          <w:lang w:val="pl-PL"/>
        </w:rPr>
        <w:t>d) dobra osobiste osób prawnych</w:t>
      </w:r>
    </w:p>
    <w:p w:rsidR="00417E87" w:rsidRDefault="00417E87" w:rsidP="00417E8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7E87">
        <w:rPr>
          <w:rFonts w:ascii="Times New Roman" w:hAnsi="Times New Roman" w:cs="Times New Roman"/>
          <w:sz w:val="24"/>
          <w:szCs w:val="24"/>
          <w:lang w:val="pl-PL"/>
        </w:rPr>
        <w:t>e) roszczenia sł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użące ochronie dóbr osobistych </w:t>
      </w:r>
    </w:p>
    <w:p w:rsidR="00417E87" w:rsidRPr="00417E87" w:rsidRDefault="00417E87" w:rsidP="00417E8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17E87" w:rsidRPr="009C7D67" w:rsidRDefault="00417E87" w:rsidP="009C7D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7D67">
        <w:rPr>
          <w:rFonts w:ascii="Times New Roman" w:hAnsi="Times New Roman" w:cs="Times New Roman"/>
          <w:b/>
          <w:sz w:val="24"/>
          <w:szCs w:val="24"/>
          <w:lang w:val="pl-PL"/>
        </w:rPr>
        <w:t>2) Dobra osobiste a pozostające z nimi w kolizji praw</w:t>
      </w:r>
      <w:r w:rsidR="002B1646" w:rsidRPr="009C7D67">
        <w:rPr>
          <w:rFonts w:ascii="Times New Roman" w:hAnsi="Times New Roman" w:cs="Times New Roman"/>
          <w:b/>
          <w:sz w:val="24"/>
          <w:szCs w:val="24"/>
          <w:lang w:val="pl-PL"/>
        </w:rPr>
        <w:t>a i wolności konstytucyjne (tj. </w:t>
      </w:r>
      <w:r w:rsidRPr="009C7D67">
        <w:rPr>
          <w:rFonts w:ascii="Times New Roman" w:hAnsi="Times New Roman" w:cs="Times New Roman"/>
          <w:b/>
          <w:sz w:val="24"/>
          <w:szCs w:val="24"/>
          <w:lang w:val="pl-PL"/>
        </w:rPr>
        <w:t>wolność mediów, swoboda wypowiedzi, prawo do informacji)</w:t>
      </w:r>
      <w:r w:rsidR="00C0015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417E87" w:rsidRPr="00417E87" w:rsidRDefault="00417E87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7E87">
        <w:rPr>
          <w:rFonts w:ascii="Times New Roman" w:hAnsi="Times New Roman" w:cs="Times New Roman"/>
          <w:sz w:val="24"/>
          <w:szCs w:val="24"/>
          <w:lang w:val="pl-PL"/>
        </w:rPr>
        <w:t xml:space="preserve">a) kolizja praw i wolności – aspekty konstytucyjnoprawne </w:t>
      </w:r>
    </w:p>
    <w:p w:rsidR="00417E87" w:rsidRPr="00417E87" w:rsidRDefault="00417E87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7E87">
        <w:rPr>
          <w:rFonts w:ascii="Times New Roman" w:hAnsi="Times New Roman" w:cs="Times New Roman"/>
          <w:sz w:val="24"/>
          <w:szCs w:val="24"/>
          <w:lang w:val="pl-PL"/>
        </w:rPr>
        <w:t xml:space="preserve">b) charakterystyka dóbr osobistych najczęściej pozostających w kolizji z wolnością prasy, swobodą wypowiedzi i prawem do informacji z uwzględnieniem ochrony dóbr osobistych osób publicznych i celebrytów (przede wszystkim: cześć, renoma, prywatność, mir domowy, wizerunek) </w:t>
      </w:r>
    </w:p>
    <w:p w:rsidR="00417E87" w:rsidRPr="00417E87" w:rsidRDefault="00417E87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7E87">
        <w:rPr>
          <w:rFonts w:ascii="Times New Roman" w:hAnsi="Times New Roman" w:cs="Times New Roman"/>
          <w:sz w:val="24"/>
          <w:szCs w:val="24"/>
          <w:lang w:val="pl-PL"/>
        </w:rPr>
        <w:t xml:space="preserve">c) wyłączenie bezprawności (działanie w ramach porządku prawnego, interes społeczny lub interes jednostki, zgoda) </w:t>
      </w:r>
    </w:p>
    <w:p w:rsidR="00417E87" w:rsidRDefault="00417E87" w:rsidP="00417E8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C7D67" w:rsidRDefault="009C7D67" w:rsidP="00417E8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00151" w:rsidRPr="00417E87" w:rsidRDefault="00C00151" w:rsidP="00417E8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17E87" w:rsidRPr="009C7D67" w:rsidRDefault="00417E87" w:rsidP="009C7D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7D67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3) Dobra osobiste a nowe technologie </w:t>
      </w:r>
    </w:p>
    <w:p w:rsidR="00417E87" w:rsidRPr="00417E87" w:rsidRDefault="00417E87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7E87">
        <w:rPr>
          <w:rFonts w:ascii="Times New Roman" w:hAnsi="Times New Roman" w:cs="Times New Roman"/>
          <w:sz w:val="24"/>
          <w:szCs w:val="24"/>
          <w:lang w:val="pl-PL"/>
        </w:rPr>
        <w:t xml:space="preserve">a) ochrona danych osobowych w Internecie </w:t>
      </w:r>
    </w:p>
    <w:p w:rsidR="00417E87" w:rsidRDefault="00417E87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7E87">
        <w:rPr>
          <w:rFonts w:ascii="Times New Roman" w:hAnsi="Times New Roman" w:cs="Times New Roman"/>
          <w:sz w:val="24"/>
          <w:szCs w:val="24"/>
          <w:lang w:val="pl-PL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pl-PL"/>
        </w:rPr>
        <w:t>dobra osobiste w prawie własności intelektualnej</w:t>
      </w:r>
    </w:p>
    <w:p w:rsidR="00417E87" w:rsidRPr="00417E87" w:rsidRDefault="00417E87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c) </w:t>
      </w:r>
      <w:r w:rsidRPr="00417E87">
        <w:rPr>
          <w:rFonts w:ascii="Times New Roman" w:hAnsi="Times New Roman" w:cs="Times New Roman"/>
          <w:sz w:val="24"/>
          <w:szCs w:val="24"/>
          <w:lang w:val="pl-PL"/>
        </w:rPr>
        <w:t>dobra osobiste a media społecznościowe</w:t>
      </w:r>
    </w:p>
    <w:p w:rsidR="00417E87" w:rsidRPr="00417E87" w:rsidRDefault="00417E87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417E87">
        <w:rPr>
          <w:rFonts w:ascii="Times New Roman" w:hAnsi="Times New Roman" w:cs="Times New Roman"/>
          <w:sz w:val="24"/>
          <w:szCs w:val="24"/>
          <w:lang w:val="pl-PL"/>
        </w:rPr>
        <w:t xml:space="preserve">) Google i jego polityka prywatności </w:t>
      </w:r>
    </w:p>
    <w:p w:rsidR="00417E87" w:rsidRPr="00417E87" w:rsidRDefault="00417E87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17E87">
        <w:rPr>
          <w:rFonts w:ascii="Times New Roman" w:hAnsi="Times New Roman" w:cs="Times New Roman"/>
          <w:sz w:val="24"/>
          <w:szCs w:val="24"/>
          <w:lang w:val="pl-PL"/>
        </w:rPr>
        <w:t>) nowe problemy w dziedzinie ochrony danych osobowych z perspektywy działalności GIODO</w:t>
      </w:r>
    </w:p>
    <w:p w:rsidR="00417E87" w:rsidRPr="00417E87" w:rsidRDefault="00417E87" w:rsidP="00417E8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17E87" w:rsidRPr="009C7D67" w:rsidRDefault="00417E87" w:rsidP="009C7D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7D67">
        <w:rPr>
          <w:rFonts w:ascii="Times New Roman" w:hAnsi="Times New Roman" w:cs="Times New Roman"/>
          <w:b/>
          <w:sz w:val="24"/>
          <w:szCs w:val="24"/>
          <w:lang w:val="pl-PL"/>
        </w:rPr>
        <w:t>4) Dobra osobiste – problematyka procesowa</w:t>
      </w:r>
      <w:r w:rsidR="00C0015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417E87" w:rsidRPr="00417E87" w:rsidRDefault="00417E87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7E87">
        <w:rPr>
          <w:rFonts w:ascii="Times New Roman" w:hAnsi="Times New Roman" w:cs="Times New Roman"/>
          <w:sz w:val="24"/>
          <w:szCs w:val="24"/>
          <w:lang w:val="pl-PL"/>
        </w:rPr>
        <w:t>a) formułowanie żądań procesowych – pozew</w:t>
      </w:r>
    </w:p>
    <w:p w:rsidR="00417E87" w:rsidRPr="00417E87" w:rsidRDefault="00417E87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7E87">
        <w:rPr>
          <w:rFonts w:ascii="Times New Roman" w:hAnsi="Times New Roman" w:cs="Times New Roman"/>
          <w:sz w:val="24"/>
          <w:szCs w:val="24"/>
          <w:lang w:val="pl-PL"/>
        </w:rPr>
        <w:t>b) zabezpieczenie roszczeń w sprawach o ochronę dóbr osobistych (sposoby zabezpieczenia)</w:t>
      </w:r>
    </w:p>
    <w:p w:rsidR="00417E87" w:rsidRPr="00417E87" w:rsidRDefault="00417E87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7E87">
        <w:rPr>
          <w:rFonts w:ascii="Times New Roman" w:hAnsi="Times New Roman" w:cs="Times New Roman"/>
          <w:sz w:val="24"/>
          <w:szCs w:val="24"/>
          <w:lang w:val="pl-PL"/>
        </w:rPr>
        <w:t>c) określanie wysokości zadośćuczynienia</w:t>
      </w:r>
    </w:p>
    <w:p w:rsidR="005E5F1C" w:rsidRDefault="00417E87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7E87">
        <w:rPr>
          <w:rFonts w:ascii="Times New Roman" w:hAnsi="Times New Roman" w:cs="Times New Roman"/>
          <w:sz w:val="24"/>
          <w:szCs w:val="24"/>
          <w:lang w:val="pl-PL"/>
        </w:rPr>
        <w:t>d) właściwość sądu i prawo właściwe w sprawach o ochronę dóbr osobistych</w:t>
      </w:r>
    </w:p>
    <w:p w:rsidR="00C00151" w:rsidRDefault="00C00151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0151" w:rsidRDefault="00C00151" w:rsidP="009C7D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0151" w:rsidRPr="00164895" w:rsidRDefault="00C00151" w:rsidP="001648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64895">
        <w:rPr>
          <w:rFonts w:ascii="Times New Roman" w:hAnsi="Times New Roman" w:cs="Times New Roman"/>
          <w:b/>
          <w:sz w:val="24"/>
          <w:szCs w:val="24"/>
          <w:lang w:val="pl-PL"/>
        </w:rPr>
        <w:t>Łącznie: 64 godziny dydaktyczne</w:t>
      </w:r>
    </w:p>
    <w:sectPr w:rsidR="00C00151" w:rsidRPr="00164895" w:rsidSect="00BD2A65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B49"/>
    <w:multiLevelType w:val="hybridMultilevel"/>
    <w:tmpl w:val="1B4EE1DA"/>
    <w:lvl w:ilvl="0" w:tplc="27E61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65E81"/>
    <w:multiLevelType w:val="hybridMultilevel"/>
    <w:tmpl w:val="A6B26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7A7D"/>
    <w:multiLevelType w:val="hybridMultilevel"/>
    <w:tmpl w:val="B91C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36582"/>
    <w:multiLevelType w:val="hybridMultilevel"/>
    <w:tmpl w:val="49629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1DA0"/>
    <w:multiLevelType w:val="hybridMultilevel"/>
    <w:tmpl w:val="66C86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94D0F"/>
    <w:multiLevelType w:val="hybridMultilevel"/>
    <w:tmpl w:val="A2507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E0935"/>
    <w:multiLevelType w:val="hybridMultilevel"/>
    <w:tmpl w:val="C2A4C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17530"/>
    <w:multiLevelType w:val="hybridMultilevel"/>
    <w:tmpl w:val="0CAA2A1A"/>
    <w:lvl w:ilvl="0" w:tplc="F6061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7C"/>
    <w:rsid w:val="00045D2E"/>
    <w:rsid w:val="00062A5D"/>
    <w:rsid w:val="00144EFA"/>
    <w:rsid w:val="00164895"/>
    <w:rsid w:val="0020357F"/>
    <w:rsid w:val="002B1646"/>
    <w:rsid w:val="0034387C"/>
    <w:rsid w:val="003E050B"/>
    <w:rsid w:val="003E54D7"/>
    <w:rsid w:val="00417E87"/>
    <w:rsid w:val="00443B0E"/>
    <w:rsid w:val="004F276B"/>
    <w:rsid w:val="005E5F1C"/>
    <w:rsid w:val="006547D9"/>
    <w:rsid w:val="008136ED"/>
    <w:rsid w:val="009C7D67"/>
    <w:rsid w:val="00AD1CFD"/>
    <w:rsid w:val="00AE457D"/>
    <w:rsid w:val="00BB55F9"/>
    <w:rsid w:val="00BD2A65"/>
    <w:rsid w:val="00BE2365"/>
    <w:rsid w:val="00C00151"/>
    <w:rsid w:val="00C7762D"/>
    <w:rsid w:val="00CF09AD"/>
    <w:rsid w:val="00D66736"/>
    <w:rsid w:val="00E41F8A"/>
    <w:rsid w:val="00F5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57F"/>
    <w:pPr>
      <w:ind w:left="720"/>
      <w:contextualSpacing/>
    </w:pPr>
  </w:style>
  <w:style w:type="paragraph" w:customStyle="1" w:styleId="Standard">
    <w:name w:val="Standard"/>
    <w:rsid w:val="009C7D67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57F"/>
    <w:pPr>
      <w:ind w:left="720"/>
      <w:contextualSpacing/>
    </w:pPr>
  </w:style>
  <w:style w:type="paragraph" w:customStyle="1" w:styleId="Standard">
    <w:name w:val="Standard"/>
    <w:rsid w:val="009C7D67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Martyniuk</dc:creator>
  <cp:lastModifiedBy>Biuro Prasowe</cp:lastModifiedBy>
  <cp:revision>2</cp:revision>
  <dcterms:created xsi:type="dcterms:W3CDTF">2016-12-15T13:46:00Z</dcterms:created>
  <dcterms:modified xsi:type="dcterms:W3CDTF">2016-12-15T13:46:00Z</dcterms:modified>
</cp:coreProperties>
</file>